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7B" w:rsidRPr="00551CB0" w:rsidRDefault="00545E7B" w:rsidP="00551CB0">
      <w:pPr>
        <w:pStyle w:val="Web"/>
        <w:shd w:val="clear" w:color="auto" w:fill="FFFFFF"/>
        <w:spacing w:before="0" w:beforeAutospacing="0" w:after="0" w:afterAutospacing="0"/>
        <w:rPr>
          <w:rFonts w:ascii="Segoe UI" w:hAnsi="Segoe UI" w:cs="Segoe UI"/>
          <w:sz w:val="36"/>
          <w:szCs w:val="36"/>
        </w:rPr>
      </w:pPr>
      <w:r w:rsidRPr="00551CB0">
        <w:rPr>
          <w:rFonts w:ascii="標楷體" w:eastAsia="標楷體" w:hAnsi="標楷體" w:cs="Segoe UI" w:hint="eastAsia"/>
          <w:b/>
          <w:bCs/>
          <w:sz w:val="36"/>
          <w:szCs w:val="36"/>
        </w:rPr>
        <w:t>高雄醫學大學通識課程送審原則</w:t>
      </w:r>
    </w:p>
    <w:p w:rsidR="00545E7B" w:rsidRPr="00CD2513" w:rsidRDefault="00545E7B" w:rsidP="00551CB0">
      <w:pPr>
        <w:pStyle w:val="Web"/>
        <w:shd w:val="clear" w:color="auto" w:fill="FFFFFF"/>
        <w:spacing w:before="0" w:beforeAutospacing="0" w:after="0" w:afterAutospacing="0"/>
        <w:jc w:val="right"/>
        <w:rPr>
          <w:rFonts w:ascii="Times New Roman" w:hAnsi="Times New Roman" w:cs="Times New Roman"/>
          <w:sz w:val="20"/>
          <w:szCs w:val="20"/>
        </w:rPr>
      </w:pPr>
      <w:r w:rsidRPr="00B00D6E">
        <w:rPr>
          <w:rFonts w:ascii="Times New Roman" w:hAnsi="Times New Roman" w:cs="Times New Roman"/>
          <w:sz w:val="20"/>
          <w:szCs w:val="20"/>
        </w:rPr>
        <w:t>105.01.26 104</w:t>
      </w:r>
      <w:r w:rsidRPr="00B00D6E">
        <w:rPr>
          <w:rFonts w:ascii="標楷體" w:eastAsia="標楷體" w:hAnsi="標楷體" w:cs="Segoe UI" w:hint="eastAsia"/>
          <w:sz w:val="20"/>
          <w:szCs w:val="20"/>
        </w:rPr>
        <w:t>學年度第</w:t>
      </w:r>
      <w:r w:rsidRPr="00CD2513">
        <w:rPr>
          <w:rFonts w:ascii="Times New Roman" w:hAnsi="Times New Roman" w:cs="Times New Roman"/>
          <w:sz w:val="20"/>
          <w:szCs w:val="20"/>
        </w:rPr>
        <w:t>3</w:t>
      </w:r>
      <w:r w:rsidRPr="00CD2513">
        <w:rPr>
          <w:rFonts w:ascii="Times New Roman" w:eastAsia="標楷體" w:hAnsi="Times New Roman" w:cs="Times New Roman"/>
          <w:sz w:val="20"/>
          <w:szCs w:val="20"/>
        </w:rPr>
        <w:t>次通識教育中心七大領域規劃小組會議審議通過</w:t>
      </w:r>
    </w:p>
    <w:p w:rsidR="00545E7B" w:rsidRPr="00CD2513" w:rsidRDefault="00545E7B" w:rsidP="00551CB0">
      <w:pPr>
        <w:pStyle w:val="Web"/>
        <w:shd w:val="clear" w:color="auto" w:fill="FFFFFF"/>
        <w:spacing w:before="0" w:beforeAutospacing="0" w:after="0" w:afterAutospacing="0"/>
        <w:jc w:val="right"/>
        <w:rPr>
          <w:rFonts w:ascii="Times New Roman" w:hAnsi="Times New Roman" w:cs="Times New Roman"/>
          <w:sz w:val="20"/>
          <w:szCs w:val="20"/>
        </w:rPr>
      </w:pPr>
      <w:r w:rsidRPr="00CD2513">
        <w:rPr>
          <w:rFonts w:ascii="Times New Roman" w:hAnsi="Times New Roman" w:cs="Times New Roman"/>
          <w:sz w:val="20"/>
          <w:szCs w:val="20"/>
        </w:rPr>
        <w:t>105.01.28 104</w:t>
      </w:r>
      <w:r w:rsidRPr="00CD2513">
        <w:rPr>
          <w:rFonts w:ascii="Times New Roman" w:eastAsia="標楷體" w:hAnsi="Times New Roman" w:cs="Times New Roman"/>
          <w:sz w:val="20"/>
          <w:szCs w:val="20"/>
        </w:rPr>
        <w:t>學年度第</w:t>
      </w:r>
      <w:r w:rsidRPr="00CD2513">
        <w:rPr>
          <w:rFonts w:ascii="Times New Roman" w:hAnsi="Times New Roman" w:cs="Times New Roman"/>
          <w:sz w:val="20"/>
          <w:szCs w:val="20"/>
        </w:rPr>
        <w:t>2</w:t>
      </w:r>
      <w:r w:rsidRPr="00CD2513">
        <w:rPr>
          <w:rFonts w:ascii="Times New Roman" w:eastAsia="標楷體" w:hAnsi="Times New Roman" w:cs="Times New Roman"/>
          <w:sz w:val="20"/>
          <w:szCs w:val="20"/>
        </w:rPr>
        <w:t>次通識教育中心課程委員會會議審議通過</w:t>
      </w:r>
    </w:p>
    <w:p w:rsidR="00545E7B" w:rsidRPr="00B00D6E" w:rsidRDefault="00545E7B" w:rsidP="00551CB0">
      <w:pPr>
        <w:pStyle w:val="Web"/>
        <w:shd w:val="clear" w:color="auto" w:fill="FFFFFF"/>
        <w:spacing w:before="0" w:beforeAutospacing="0" w:after="0" w:afterAutospacing="0"/>
        <w:jc w:val="right"/>
        <w:rPr>
          <w:rFonts w:ascii="標楷體" w:eastAsia="標楷體" w:hAnsi="標楷體" w:cs="Segoe UI"/>
          <w:sz w:val="20"/>
          <w:szCs w:val="20"/>
        </w:rPr>
      </w:pPr>
      <w:r w:rsidRPr="00CD2513">
        <w:rPr>
          <w:rFonts w:ascii="Times New Roman" w:hAnsi="Times New Roman" w:cs="Times New Roman"/>
          <w:sz w:val="20"/>
          <w:szCs w:val="20"/>
        </w:rPr>
        <w:t>105.05.03 104</w:t>
      </w:r>
      <w:r w:rsidRPr="00CD2513">
        <w:rPr>
          <w:rFonts w:ascii="Times New Roman" w:eastAsia="標楷體" w:hAnsi="Times New Roman" w:cs="Times New Roman"/>
          <w:sz w:val="20"/>
          <w:szCs w:val="20"/>
        </w:rPr>
        <w:t>學年度第</w:t>
      </w:r>
      <w:r w:rsidRPr="00CD2513">
        <w:rPr>
          <w:rFonts w:ascii="Times New Roman" w:eastAsia="標楷體" w:hAnsi="Times New Roman" w:cs="Times New Roman"/>
          <w:sz w:val="20"/>
          <w:szCs w:val="20"/>
        </w:rPr>
        <w:t>5</w:t>
      </w:r>
      <w:r w:rsidR="00CD2513" w:rsidRPr="00CD2513">
        <w:rPr>
          <w:rFonts w:ascii="標楷體" w:eastAsia="標楷體" w:hAnsi="標楷體" w:cs="Segoe UI" w:hint="eastAsia"/>
          <w:sz w:val="20"/>
          <w:szCs w:val="20"/>
        </w:rPr>
        <w:t>次</w:t>
      </w:r>
      <w:r w:rsidRPr="00B00D6E">
        <w:rPr>
          <w:rFonts w:ascii="標楷體" w:eastAsia="標楷體" w:hAnsi="標楷體" w:cs="Segoe UI" w:hint="eastAsia"/>
          <w:sz w:val="20"/>
          <w:szCs w:val="20"/>
        </w:rPr>
        <w:t>通識教育中心中心會議修正通過</w:t>
      </w:r>
    </w:p>
    <w:p w:rsidR="00B00D6E" w:rsidRPr="00551CB0" w:rsidRDefault="00B00D6E" w:rsidP="00551CB0">
      <w:pPr>
        <w:pStyle w:val="Web"/>
        <w:shd w:val="clear" w:color="auto" w:fill="FFFFFF"/>
        <w:spacing w:before="0" w:beforeAutospacing="0" w:after="0" w:afterAutospacing="0"/>
        <w:jc w:val="right"/>
        <w:rPr>
          <w:rFonts w:ascii="Segoe UI" w:hAnsi="Segoe UI" w:cs="Segoe UI" w:hint="eastAsia"/>
          <w:sz w:val="21"/>
          <w:szCs w:val="21"/>
        </w:rPr>
      </w:pP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1</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為提升本校通識課程品質，落實定期檢討機制，特訂定「高雄醫學大學通識課程送審原則」</w:t>
      </w:r>
      <w:r w:rsidR="00545E7B" w:rsidRPr="00EF3D47">
        <w:rPr>
          <w:rFonts w:ascii="Times New Roman" w:eastAsia="標楷體" w:hAnsi="Times New Roman" w:cs="Times New Roman"/>
        </w:rPr>
        <w:t>(</w:t>
      </w:r>
      <w:r w:rsidR="00545E7B" w:rsidRPr="00EF3D47">
        <w:rPr>
          <w:rFonts w:ascii="Times New Roman" w:eastAsia="標楷體" w:hAnsi="Times New Roman" w:cs="Times New Roman"/>
        </w:rPr>
        <w:t>以下簡稱本原則</w:t>
      </w:r>
      <w:r w:rsidR="00545E7B" w:rsidRPr="00EF3D47">
        <w:rPr>
          <w:rFonts w:ascii="Times New Roman" w:eastAsia="標楷體" w:hAnsi="Times New Roman" w:cs="Times New Roman"/>
        </w:rPr>
        <w:t>)</w:t>
      </w:r>
      <w:r w:rsidR="00545E7B" w:rsidRPr="00EF3D47">
        <w:rPr>
          <w:rFonts w:ascii="Times New Roman" w:eastAsia="標楷體" w:hAnsi="Times New Roman" w:cs="Times New Roman"/>
        </w:rPr>
        <w:t>。</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2</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本原則所指通識課程包含基礎課程、博雅課程及體育課程。</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3</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課程審查時程：</w:t>
      </w:r>
    </w:p>
    <w:p w:rsidR="00545E7B" w:rsidRPr="00EF3D47" w:rsidRDefault="00545E7B" w:rsidP="00551CB0">
      <w:pPr>
        <w:pStyle w:val="Web"/>
        <w:shd w:val="clear" w:color="auto" w:fill="FFFFFF"/>
        <w:spacing w:before="0" w:beforeAutospacing="0" w:after="0" w:afterAutospacing="0"/>
        <w:ind w:left="900" w:hanging="426"/>
        <w:rPr>
          <w:rFonts w:ascii="Times New Roman" w:hAnsi="Times New Roman" w:cs="Times New Roman"/>
        </w:rPr>
      </w:pPr>
      <w:r w:rsidRPr="00EF3D47">
        <w:rPr>
          <w:rFonts w:ascii="Times New Roman" w:eastAsia="標楷體" w:hAnsi="Times New Roman" w:cs="Times New Roman"/>
        </w:rPr>
        <w:t>一、每三年應檢送既有通識課程外審。</w:t>
      </w:r>
    </w:p>
    <w:p w:rsidR="00545E7B" w:rsidRPr="00EF3D47" w:rsidRDefault="00545E7B" w:rsidP="00551CB0">
      <w:pPr>
        <w:pStyle w:val="Web"/>
        <w:shd w:val="clear" w:color="auto" w:fill="FFFFFF"/>
        <w:spacing w:before="0" w:beforeAutospacing="0" w:after="0" w:afterAutospacing="0"/>
        <w:ind w:left="900" w:hanging="426"/>
        <w:rPr>
          <w:rFonts w:ascii="Times New Roman" w:hAnsi="Times New Roman" w:cs="Times New Roman"/>
        </w:rPr>
      </w:pPr>
      <w:r w:rsidRPr="00EF3D47">
        <w:rPr>
          <w:rFonts w:ascii="Times New Roman" w:eastAsia="標楷體" w:hAnsi="Times New Roman" w:cs="Times New Roman"/>
        </w:rPr>
        <w:t>二、每學期開學初應檢送次一學期擬新開設課程外審。</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4</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外審委員遴選之原則：</w:t>
      </w:r>
    </w:p>
    <w:p w:rsidR="00545E7B" w:rsidRPr="00EF3D47" w:rsidRDefault="00545E7B" w:rsidP="00B74C4C">
      <w:pPr>
        <w:pStyle w:val="Web"/>
        <w:shd w:val="clear" w:color="auto" w:fill="FFFFFF"/>
        <w:spacing w:before="0" w:beforeAutospacing="0" w:after="0" w:afterAutospacing="0"/>
        <w:ind w:left="450" w:hanging="1"/>
        <w:jc w:val="both"/>
        <w:rPr>
          <w:rFonts w:ascii="Times New Roman" w:hAnsi="Times New Roman" w:cs="Times New Roman"/>
        </w:rPr>
      </w:pPr>
      <w:r w:rsidRPr="00EF3D47">
        <w:rPr>
          <w:rFonts w:ascii="Times New Roman" w:eastAsia="標楷體" w:hAnsi="Times New Roman" w:cs="Times New Roman"/>
        </w:rPr>
        <w:t>外審委員應由相關領域之專家兩名組成，博雅課程由各領域召集人推薦，基礎課程及體育課程依課程種類由各教學中心主任或其他相關學系專家推薦，經通識教育中心中心主任同意後辦理。</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5</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外審委員迴避原則：</w:t>
      </w:r>
    </w:p>
    <w:p w:rsidR="00545E7B" w:rsidRPr="00EF3D47" w:rsidRDefault="00545E7B" w:rsidP="00551CB0">
      <w:pPr>
        <w:pStyle w:val="Web"/>
        <w:shd w:val="clear" w:color="auto" w:fill="FFFFFF"/>
        <w:spacing w:before="0" w:beforeAutospacing="0" w:after="0" w:afterAutospacing="0"/>
        <w:ind w:left="450" w:hanging="1"/>
        <w:rPr>
          <w:rFonts w:ascii="Times New Roman" w:hAnsi="Times New Roman" w:cs="Times New Roman"/>
        </w:rPr>
      </w:pPr>
      <w:r w:rsidRPr="00EF3D47">
        <w:rPr>
          <w:rFonts w:ascii="Times New Roman" w:eastAsia="標楷體" w:hAnsi="Times New Roman" w:cs="Times New Roman"/>
        </w:rPr>
        <w:t>各開課單位於推薦審查委</w:t>
      </w:r>
      <w:bookmarkStart w:id="0" w:name="_GoBack"/>
      <w:bookmarkEnd w:id="0"/>
      <w:r w:rsidRPr="00EF3D47">
        <w:rPr>
          <w:rFonts w:ascii="Times New Roman" w:eastAsia="標楷體" w:hAnsi="Times New Roman" w:cs="Times New Roman"/>
        </w:rPr>
        <w:t>員時，如有下列情形之一者，應不予推薦：</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一、該課程協同教師。</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二、曾為課程負責人之指導教授。</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三、曾為課程負責人之合著人或共同研究人。</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6</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審查作業原則：</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一、個別課程檢附課程大綱、授課進度外審。</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二、以共同課綱授課之課程，依據課程名稱、級數或類別檢送外審。</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三、通識博雅課程之課程大綱、授課進度相近者，統一檢送外審。</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四、兩位外審委員，若有其中一位勾選不推薦或勉予推薦，則直接送第三位外審委員審查。</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7</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審查重點：</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一、教師專長與任教科目是否相符。</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二、課程及教學活動內容是否符合通識教育之理念與目標。</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三、課程及教學活動內容是否符合該課程核心能力對應之要求。</w:t>
      </w:r>
    </w:p>
    <w:p w:rsidR="00545E7B" w:rsidRPr="00EF3D47" w:rsidRDefault="00545E7B" w:rsidP="00551CB0">
      <w:pPr>
        <w:pStyle w:val="Web"/>
        <w:shd w:val="clear" w:color="auto" w:fill="FFFFFF"/>
        <w:spacing w:before="0" w:beforeAutospacing="0" w:after="0" w:afterAutospacing="0"/>
        <w:ind w:left="900" w:hanging="480"/>
        <w:rPr>
          <w:rFonts w:ascii="Times New Roman" w:hAnsi="Times New Roman" w:cs="Times New Roman"/>
        </w:rPr>
      </w:pPr>
      <w:r w:rsidRPr="00EF3D47">
        <w:rPr>
          <w:rFonts w:ascii="Times New Roman" w:eastAsia="標楷體" w:hAnsi="Times New Roman" w:cs="Times New Roman"/>
        </w:rPr>
        <w:t>四、課程及教學活動內容安排、學習評量方式是否恰當。</w:t>
      </w:r>
    </w:p>
    <w:p w:rsidR="00545E7B" w:rsidRPr="00EF3D47" w:rsidRDefault="00B00D6E" w:rsidP="00551CB0">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8</w:t>
      </w:r>
      <w:r w:rsidR="00545E7B" w:rsidRPr="00EF3D47">
        <w:rPr>
          <w:rFonts w:ascii="Times New Roman" w:eastAsia="標楷體" w:hAnsi="Times New Roman" w:cs="Times New Roman"/>
        </w:rPr>
        <w:t>條</w:t>
      </w:r>
      <w:r w:rsidRPr="00EF3D47">
        <w:rPr>
          <w:rFonts w:ascii="Times New Roman" w:eastAsia="標楷體" w:hAnsi="Times New Roman" w:cs="Times New Roman"/>
        </w:rPr>
        <w:t xml:space="preserve"> </w:t>
      </w:r>
      <w:r w:rsidR="00545E7B" w:rsidRPr="00EF3D47">
        <w:rPr>
          <w:rFonts w:ascii="Times New Roman" w:eastAsia="標楷體" w:hAnsi="Times New Roman" w:cs="Times New Roman"/>
        </w:rPr>
        <w:t>外審結果應提報各教學中心課程委員會、通識教育中心課程委員會及校課程委員會審議。</w:t>
      </w:r>
    </w:p>
    <w:p w:rsidR="00537B13" w:rsidRPr="00EF3D47" w:rsidRDefault="00B00D6E" w:rsidP="00B00D6E">
      <w:pPr>
        <w:pStyle w:val="Web"/>
        <w:shd w:val="clear" w:color="auto" w:fill="FFFFFF"/>
        <w:spacing w:before="0" w:beforeAutospacing="0" w:after="0" w:afterAutospacing="0"/>
        <w:ind w:left="450" w:hanging="850"/>
        <w:rPr>
          <w:rFonts w:ascii="Times New Roman" w:hAnsi="Times New Roman" w:cs="Times New Roman"/>
        </w:rPr>
      </w:pPr>
      <w:r w:rsidRPr="00EF3D47">
        <w:rPr>
          <w:rFonts w:ascii="Times New Roman" w:eastAsia="標楷體" w:hAnsi="Times New Roman" w:cs="Times New Roman"/>
        </w:rPr>
        <w:t>第</w:t>
      </w:r>
      <w:r w:rsidRPr="00EF3D47">
        <w:rPr>
          <w:rFonts w:ascii="Times New Roman" w:eastAsia="標楷體" w:hAnsi="Times New Roman" w:cs="Times New Roman"/>
        </w:rPr>
        <w:t>9</w:t>
      </w:r>
      <w:r w:rsidR="00545E7B" w:rsidRPr="00EF3D47">
        <w:rPr>
          <w:rFonts w:ascii="Times New Roman" w:eastAsia="標楷體" w:hAnsi="Times New Roman" w:cs="Times New Roman"/>
        </w:rPr>
        <w:t>條</w:t>
      </w:r>
      <w:r w:rsidR="00545E7B" w:rsidRPr="00EF3D47">
        <w:rPr>
          <w:rFonts w:ascii="Times New Roman" w:eastAsia="標楷體" w:hAnsi="Times New Roman" w:cs="Times New Roman"/>
        </w:rPr>
        <w:t> </w:t>
      </w:r>
      <w:r w:rsidR="00545E7B" w:rsidRPr="00EF3D47">
        <w:rPr>
          <w:rFonts w:ascii="Times New Roman" w:eastAsia="標楷體" w:hAnsi="Times New Roman" w:cs="Times New Roman"/>
        </w:rPr>
        <w:t>本原則經通識教育中心課程委員會及通識教育中心中心會議通過後實施，修正時亦同。</w:t>
      </w:r>
    </w:p>
    <w:sectPr w:rsidR="00537B13" w:rsidRPr="00EF3D47" w:rsidSect="0055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47" w:rsidRDefault="003A1847" w:rsidP="00B00D6E">
      <w:r>
        <w:separator/>
      </w:r>
    </w:p>
  </w:endnote>
  <w:endnote w:type="continuationSeparator" w:id="0">
    <w:p w:rsidR="003A1847" w:rsidRDefault="003A1847" w:rsidP="00B0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47" w:rsidRDefault="003A1847" w:rsidP="00B00D6E">
      <w:r>
        <w:separator/>
      </w:r>
    </w:p>
  </w:footnote>
  <w:footnote w:type="continuationSeparator" w:id="0">
    <w:p w:rsidR="003A1847" w:rsidRDefault="003A1847" w:rsidP="00B0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F"/>
    <w:rsid w:val="003A1847"/>
    <w:rsid w:val="00537B13"/>
    <w:rsid w:val="00545E7B"/>
    <w:rsid w:val="00551CB0"/>
    <w:rsid w:val="00B00D6E"/>
    <w:rsid w:val="00B74C4C"/>
    <w:rsid w:val="00C0017F"/>
    <w:rsid w:val="00CB54CF"/>
    <w:rsid w:val="00CD2513"/>
    <w:rsid w:val="00EF3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544D"/>
  <w15:chartTrackingRefBased/>
  <w15:docId w15:val="{906536AE-5DA0-419B-8893-FE7A8C7B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5E7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00D6E"/>
    <w:pPr>
      <w:tabs>
        <w:tab w:val="center" w:pos="4153"/>
        <w:tab w:val="right" w:pos="8306"/>
      </w:tabs>
      <w:snapToGrid w:val="0"/>
    </w:pPr>
    <w:rPr>
      <w:sz w:val="20"/>
      <w:szCs w:val="20"/>
    </w:rPr>
  </w:style>
  <w:style w:type="character" w:customStyle="1" w:styleId="a4">
    <w:name w:val="頁首 字元"/>
    <w:basedOn w:val="a0"/>
    <w:link w:val="a3"/>
    <w:uiPriority w:val="99"/>
    <w:rsid w:val="00B00D6E"/>
    <w:rPr>
      <w:sz w:val="20"/>
      <w:szCs w:val="20"/>
    </w:rPr>
  </w:style>
  <w:style w:type="paragraph" w:styleId="a5">
    <w:name w:val="footer"/>
    <w:basedOn w:val="a"/>
    <w:link w:val="a6"/>
    <w:uiPriority w:val="99"/>
    <w:unhideWhenUsed/>
    <w:rsid w:val="00B00D6E"/>
    <w:pPr>
      <w:tabs>
        <w:tab w:val="center" w:pos="4153"/>
        <w:tab w:val="right" w:pos="8306"/>
      </w:tabs>
      <w:snapToGrid w:val="0"/>
    </w:pPr>
    <w:rPr>
      <w:sz w:val="20"/>
      <w:szCs w:val="20"/>
    </w:rPr>
  </w:style>
  <w:style w:type="character" w:customStyle="1" w:styleId="a6">
    <w:name w:val="頁尾 字元"/>
    <w:basedOn w:val="a0"/>
    <w:link w:val="a5"/>
    <w:uiPriority w:val="99"/>
    <w:rsid w:val="00B00D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9</cp:revision>
  <dcterms:created xsi:type="dcterms:W3CDTF">2020-12-04T03:41:00Z</dcterms:created>
  <dcterms:modified xsi:type="dcterms:W3CDTF">2020-12-07T01:32:00Z</dcterms:modified>
</cp:coreProperties>
</file>