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3C" w:rsidRPr="00CF248F" w:rsidRDefault="0087703C" w:rsidP="0087703C">
      <w:pPr>
        <w:pStyle w:val="Web"/>
        <w:shd w:val="clear" w:color="auto" w:fill="FFFFFF"/>
        <w:spacing w:before="75" w:beforeAutospacing="0" w:after="150" w:afterAutospacing="0"/>
        <w:jc w:val="center"/>
        <w:rPr>
          <w:rFonts w:ascii="標楷體" w:eastAsia="標楷體" w:hAnsi="標楷體" w:cs="Segoe UI"/>
          <w:b/>
          <w:color w:val="000000" w:themeColor="text1"/>
          <w:sz w:val="36"/>
          <w:szCs w:val="36"/>
        </w:rPr>
      </w:pPr>
      <w:r w:rsidRPr="00CF248F">
        <w:rPr>
          <w:rFonts w:ascii="標楷體" w:eastAsia="標楷體" w:hAnsi="標楷體" w:cs="Segoe UI" w:hint="eastAsia"/>
          <w:b/>
          <w:color w:val="000000" w:themeColor="text1"/>
          <w:sz w:val="36"/>
          <w:szCs w:val="36"/>
        </w:rPr>
        <w:t>高雄醫學大學通識教育中心教師著作審查委員遴選原則</w:t>
      </w:r>
    </w:p>
    <w:p w:rsidR="0087703C" w:rsidRDefault="0087703C" w:rsidP="0087703C">
      <w:pPr>
        <w:pStyle w:val="Web"/>
        <w:shd w:val="clear" w:color="auto" w:fill="FFFFFF"/>
        <w:spacing w:before="0" w:beforeAutospacing="0" w:after="0" w:afterAutospacing="0" w:line="360" w:lineRule="atLeast"/>
        <w:jc w:val="right"/>
        <w:rPr>
          <w:rFonts w:ascii="Times New Roman" w:eastAsia="標楷體" w:hAnsi="Times New Roman" w:cs="Times New Roman"/>
          <w:color w:val="000000" w:themeColor="text1"/>
          <w:sz w:val="20"/>
          <w:szCs w:val="20"/>
        </w:rPr>
      </w:pPr>
      <w:r w:rsidRPr="00CF248F">
        <w:rPr>
          <w:rFonts w:ascii="Times New Roman" w:eastAsia="標楷體" w:hAnsi="Times New Roman" w:cs="Times New Roman"/>
          <w:color w:val="000000" w:themeColor="text1"/>
          <w:sz w:val="20"/>
          <w:szCs w:val="20"/>
        </w:rPr>
        <w:t>106.</w:t>
      </w:r>
      <w:r w:rsidR="00CF248F">
        <w:rPr>
          <w:rFonts w:ascii="Times New Roman" w:eastAsia="標楷體" w:hAnsi="Times New Roman" w:cs="Times New Roman"/>
          <w:color w:val="000000" w:themeColor="text1"/>
          <w:sz w:val="20"/>
          <w:szCs w:val="20"/>
        </w:rPr>
        <w:t>0</w:t>
      </w:r>
      <w:r w:rsidRPr="00CF248F">
        <w:rPr>
          <w:rFonts w:ascii="Times New Roman" w:eastAsia="標楷體" w:hAnsi="Times New Roman" w:cs="Times New Roman"/>
          <w:color w:val="000000" w:themeColor="text1"/>
          <w:sz w:val="20"/>
          <w:szCs w:val="20"/>
        </w:rPr>
        <w:t>3.10 105</w:t>
      </w:r>
      <w:r w:rsidRPr="00CF248F">
        <w:rPr>
          <w:rFonts w:ascii="Times New Roman" w:eastAsia="標楷體" w:hAnsi="Times New Roman" w:cs="Times New Roman"/>
          <w:color w:val="000000" w:themeColor="text1"/>
          <w:sz w:val="20"/>
          <w:szCs w:val="20"/>
        </w:rPr>
        <w:t>學年度</w:t>
      </w:r>
      <w:r w:rsidR="00CF248F" w:rsidRPr="00CF248F">
        <w:rPr>
          <w:rFonts w:ascii="Times New Roman" w:eastAsia="標楷體" w:hAnsi="Times New Roman" w:cs="Times New Roman"/>
          <w:color w:val="000000" w:themeColor="text1"/>
          <w:sz w:val="20"/>
          <w:szCs w:val="20"/>
        </w:rPr>
        <w:t>第</w:t>
      </w:r>
      <w:r w:rsidR="00CF248F" w:rsidRPr="00CF248F">
        <w:rPr>
          <w:rFonts w:ascii="Times New Roman" w:eastAsia="標楷體" w:hAnsi="Times New Roman" w:cs="Times New Roman"/>
          <w:color w:val="000000" w:themeColor="text1"/>
          <w:sz w:val="20"/>
          <w:szCs w:val="20"/>
        </w:rPr>
        <w:t>3</w:t>
      </w:r>
      <w:r w:rsidR="00CF248F" w:rsidRPr="00CF248F">
        <w:rPr>
          <w:rFonts w:ascii="Times New Roman" w:eastAsia="標楷體" w:hAnsi="Times New Roman" w:cs="Times New Roman"/>
          <w:color w:val="000000" w:themeColor="text1"/>
          <w:sz w:val="20"/>
          <w:szCs w:val="20"/>
        </w:rPr>
        <w:t>次</w:t>
      </w:r>
      <w:r w:rsidRPr="00CF248F">
        <w:rPr>
          <w:rFonts w:ascii="Times New Roman" w:eastAsia="標楷體" w:hAnsi="Times New Roman" w:cs="Times New Roman"/>
          <w:color w:val="000000" w:themeColor="text1"/>
          <w:sz w:val="20"/>
          <w:szCs w:val="20"/>
        </w:rPr>
        <w:t>通識教育中心教師評審委員會通過</w:t>
      </w:r>
    </w:p>
    <w:p w:rsidR="00461DC8" w:rsidRPr="00CF248F" w:rsidRDefault="00461DC8" w:rsidP="0087703C">
      <w:pPr>
        <w:pStyle w:val="Web"/>
        <w:shd w:val="clear" w:color="auto" w:fill="FFFFFF"/>
        <w:spacing w:before="0" w:beforeAutospacing="0" w:after="0" w:afterAutospacing="0" w:line="360" w:lineRule="atLeast"/>
        <w:jc w:val="right"/>
        <w:rPr>
          <w:rFonts w:ascii="Times New Roman" w:eastAsia="標楷體" w:hAnsi="Times New Roman" w:cs="Times New Roman" w:hint="eastAsia"/>
          <w:color w:val="000000" w:themeColor="text1"/>
          <w:sz w:val="20"/>
          <w:szCs w:val="20"/>
        </w:rPr>
      </w:pPr>
    </w:p>
    <w:p w:rsidR="0087703C" w:rsidRPr="001D75F1" w:rsidRDefault="0087703C" w:rsidP="00461DC8">
      <w:pPr>
        <w:pStyle w:val="Web"/>
        <w:numPr>
          <w:ilvl w:val="0"/>
          <w:numId w:val="1"/>
        </w:numPr>
        <w:shd w:val="clear" w:color="auto" w:fill="FFFFFF"/>
        <w:spacing w:before="0" w:beforeAutospacing="0" w:after="0" w:afterAutospacing="0" w:line="360" w:lineRule="atLeast"/>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本中心教師評審委員會辦理教師著作外審審查委員之遴選，基於公平、公正、公開之原則，並確保遴選委員之專長符合專業審查所需，特訂定本原則。</w:t>
      </w:r>
    </w:p>
    <w:p w:rsidR="0087703C" w:rsidRPr="001D75F1" w:rsidRDefault="0087703C" w:rsidP="00461DC8">
      <w:pPr>
        <w:pStyle w:val="Web"/>
        <w:numPr>
          <w:ilvl w:val="0"/>
          <w:numId w:val="1"/>
        </w:numPr>
        <w:shd w:val="clear" w:color="auto" w:fill="FFFFFF"/>
        <w:spacing w:before="0" w:beforeAutospacing="0" w:after="0" w:afterAutospacing="0" w:line="360" w:lineRule="atLeast"/>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審查委員之遴選，應符合送審人之學術專長(依據科技部學術研發服務網研究人才資料庫之學門代碼領域別)，如送審人送審著作跨不同學術專長領域，則以代表著作之專長領域為主要考量依據。</w:t>
      </w:r>
    </w:p>
    <w:p w:rsidR="0087703C" w:rsidRPr="001D75F1" w:rsidRDefault="0087703C" w:rsidP="00461DC8">
      <w:pPr>
        <w:pStyle w:val="Web"/>
        <w:numPr>
          <w:ilvl w:val="0"/>
          <w:numId w:val="1"/>
        </w:numPr>
        <w:shd w:val="clear" w:color="auto" w:fill="FFFFFF"/>
        <w:spacing w:before="0" w:beforeAutospacing="0" w:after="0" w:afterAutospacing="0" w:line="360" w:lineRule="atLeast"/>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審查委員以具有教育部審定教授資格之現職者為原則，並以國立大學為優先。若無適當之教授人選，對於送審副教授以下資格案，可以具有教育部審定之副教授資格者擔任之，但不得審查升等教授案。</w:t>
      </w:r>
    </w:p>
    <w:p w:rsidR="0087703C" w:rsidRPr="001D75F1" w:rsidRDefault="0087703C" w:rsidP="00461DC8">
      <w:pPr>
        <w:pStyle w:val="Web"/>
        <w:numPr>
          <w:ilvl w:val="0"/>
          <w:numId w:val="1"/>
        </w:numPr>
        <w:shd w:val="clear" w:color="auto" w:fill="FFFFFF"/>
        <w:spacing w:before="0" w:beforeAutospacing="0" w:after="0" w:afterAutospacing="0" w:line="360" w:lineRule="atLeast"/>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以技術報告或藝術類科作品送審者，審查委員應儘量遴選兼具實務經驗者擔任。必要時，亦得遴選未具教育部審定之教授資格、但其成就具備公認相當教授水準者擔任之，包括教授級專業技術人員及學術研究機構或與產業相關之研究機構相當教授級之研究員。</w:t>
      </w:r>
    </w:p>
    <w:p w:rsidR="0087703C" w:rsidRPr="001D75F1" w:rsidRDefault="0087703C" w:rsidP="00461DC8">
      <w:pPr>
        <w:pStyle w:val="Web"/>
        <w:numPr>
          <w:ilvl w:val="0"/>
          <w:numId w:val="1"/>
        </w:numPr>
        <w:shd w:val="clear" w:color="auto" w:fill="FFFFFF"/>
        <w:spacing w:before="0" w:beforeAutospacing="0" w:after="0" w:afterAutospacing="0" w:line="360" w:lineRule="atLeast"/>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審查委員之遴選，應依據「高雄醫學大學教師聘任及升等資格審定辦法」第十八條第五款之迴避原則進行查核:</w:t>
      </w:r>
    </w:p>
    <w:p w:rsidR="0087703C" w:rsidRPr="001D75F1" w:rsidRDefault="0087703C" w:rsidP="002F5129">
      <w:pPr>
        <w:pStyle w:val="Web"/>
        <w:numPr>
          <w:ilvl w:val="1"/>
          <w:numId w:val="4"/>
        </w:numPr>
        <w:shd w:val="clear" w:color="auto" w:fill="FFFFFF"/>
        <w:spacing w:before="0" w:beforeAutospacing="0" w:after="0" w:afterAutospacing="0" w:line="400" w:lineRule="atLeast"/>
        <w:ind w:hanging="14"/>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碩、博士班指導教授。</w:t>
      </w:r>
    </w:p>
    <w:p w:rsidR="0087703C" w:rsidRPr="001D75F1" w:rsidRDefault="0087703C" w:rsidP="002F5129">
      <w:pPr>
        <w:pStyle w:val="Web"/>
        <w:numPr>
          <w:ilvl w:val="1"/>
          <w:numId w:val="4"/>
        </w:numPr>
        <w:shd w:val="clear" w:color="auto" w:fill="FFFFFF"/>
        <w:spacing w:before="0" w:beforeAutospacing="0" w:after="0" w:afterAutospacing="0" w:line="400" w:lineRule="atLeast"/>
        <w:ind w:hanging="14"/>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配偶、四親等內之血親或三親等內之姻親或曾有此關係者。</w:t>
      </w:r>
    </w:p>
    <w:p w:rsidR="0087703C" w:rsidRPr="001D75F1" w:rsidRDefault="0087703C" w:rsidP="002F5129">
      <w:pPr>
        <w:pStyle w:val="Web"/>
        <w:numPr>
          <w:ilvl w:val="1"/>
          <w:numId w:val="4"/>
        </w:numPr>
        <w:shd w:val="clear" w:color="auto" w:fill="FFFFFF"/>
        <w:spacing w:before="0" w:beforeAutospacing="0" w:after="0" w:afterAutospacing="0" w:line="400" w:lineRule="atLeast"/>
        <w:ind w:hanging="14"/>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代表著作之共同作者。</w:t>
      </w:r>
    </w:p>
    <w:p w:rsidR="0087703C" w:rsidRPr="001D75F1" w:rsidRDefault="0087703C" w:rsidP="002F5129">
      <w:pPr>
        <w:pStyle w:val="Web"/>
        <w:numPr>
          <w:ilvl w:val="1"/>
          <w:numId w:val="4"/>
        </w:numPr>
        <w:shd w:val="clear" w:color="auto" w:fill="FFFFFF"/>
        <w:spacing w:before="0" w:beforeAutospacing="0" w:after="0" w:afterAutospacing="0" w:line="400" w:lineRule="atLeast"/>
        <w:ind w:hanging="14"/>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相關利害關係人。</w:t>
      </w:r>
    </w:p>
    <w:p w:rsidR="0087703C" w:rsidRPr="001D75F1" w:rsidRDefault="0087703C" w:rsidP="002F5129">
      <w:pPr>
        <w:pStyle w:val="Web"/>
        <w:numPr>
          <w:ilvl w:val="1"/>
          <w:numId w:val="4"/>
        </w:numPr>
        <w:shd w:val="clear" w:color="auto" w:fill="FFFFFF"/>
        <w:spacing w:before="0" w:beforeAutospacing="0" w:after="0" w:afterAutospacing="0" w:line="400" w:lineRule="atLeast"/>
        <w:ind w:hanging="14"/>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依其他法律或規定應予迴避。</w:t>
      </w:r>
    </w:p>
    <w:p w:rsidR="0087703C" w:rsidRPr="001D75F1" w:rsidRDefault="0087703C" w:rsidP="00461DC8">
      <w:pPr>
        <w:pStyle w:val="Web"/>
        <w:numPr>
          <w:ilvl w:val="0"/>
          <w:numId w:val="1"/>
        </w:numPr>
        <w:shd w:val="clear" w:color="auto" w:fill="FFFFFF"/>
        <w:spacing w:before="0" w:beforeAutospacing="0" w:after="0" w:afterAutospacing="0" w:line="360" w:lineRule="atLeast"/>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為顧及審查委員遴選之公平性與平衡性，宜就下列原則迴避之：</w:t>
      </w:r>
    </w:p>
    <w:p w:rsidR="0087703C" w:rsidRPr="001D75F1" w:rsidRDefault="0087703C" w:rsidP="002F5129">
      <w:pPr>
        <w:pStyle w:val="Web"/>
        <w:numPr>
          <w:ilvl w:val="0"/>
          <w:numId w:val="5"/>
        </w:numPr>
        <w:shd w:val="clear" w:color="auto" w:fill="FFFFFF"/>
        <w:spacing w:before="0" w:beforeAutospacing="0" w:after="0" w:afterAutospacing="0" w:line="400" w:lineRule="atLeast"/>
        <w:ind w:firstLine="0"/>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送審人畢業學校之教授（尤其是畢業時間十年以內，且為同一系所者）。</w:t>
      </w:r>
    </w:p>
    <w:p w:rsidR="0087703C" w:rsidRPr="001D75F1" w:rsidRDefault="0087703C" w:rsidP="002F5129">
      <w:pPr>
        <w:pStyle w:val="Web"/>
        <w:numPr>
          <w:ilvl w:val="0"/>
          <w:numId w:val="5"/>
        </w:numPr>
        <w:shd w:val="clear" w:color="auto" w:fill="FFFFFF"/>
        <w:spacing w:before="0" w:beforeAutospacing="0" w:after="0" w:afterAutospacing="0" w:line="400" w:lineRule="atLeast"/>
        <w:ind w:firstLine="0"/>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與送審人為同</w:t>
      </w:r>
      <w:proofErr w:type="gramStart"/>
      <w:r w:rsidRPr="001D75F1">
        <w:rPr>
          <w:rFonts w:ascii="標楷體" w:eastAsia="標楷體" w:hAnsi="標楷體" w:cs="Segoe UI" w:hint="eastAsia"/>
          <w:color w:val="000000" w:themeColor="text1"/>
        </w:rPr>
        <w:t>校系且前</w:t>
      </w:r>
      <w:proofErr w:type="gramEnd"/>
      <w:r w:rsidRPr="001D75F1">
        <w:rPr>
          <w:rFonts w:ascii="標楷體" w:eastAsia="標楷體" w:hAnsi="標楷體" w:cs="Segoe UI" w:hint="eastAsia"/>
          <w:color w:val="000000" w:themeColor="text1"/>
        </w:rPr>
        <w:t>後期畢業者。</w:t>
      </w:r>
    </w:p>
    <w:p w:rsidR="0087703C" w:rsidRPr="001D75F1" w:rsidRDefault="0087703C" w:rsidP="002F5129">
      <w:pPr>
        <w:pStyle w:val="Web"/>
        <w:numPr>
          <w:ilvl w:val="0"/>
          <w:numId w:val="5"/>
        </w:numPr>
        <w:shd w:val="clear" w:color="auto" w:fill="FFFFFF"/>
        <w:spacing w:before="0" w:beforeAutospacing="0" w:after="0" w:afterAutospacing="0" w:line="400" w:lineRule="atLeast"/>
        <w:ind w:firstLine="0"/>
        <w:jc w:val="both"/>
        <w:rPr>
          <w:rFonts w:ascii="標楷體" w:eastAsia="標楷體" w:hAnsi="標楷體" w:cs="Segoe UI"/>
          <w:color w:val="000000" w:themeColor="text1"/>
        </w:rPr>
      </w:pPr>
      <w:r w:rsidRPr="001D75F1">
        <w:rPr>
          <w:rFonts w:ascii="標楷體" w:eastAsia="標楷體" w:hAnsi="標楷體" w:cs="Segoe UI" w:hint="eastAsia"/>
          <w:color w:val="000000" w:themeColor="text1"/>
        </w:rPr>
        <w:t>曾與送審人共同參與相關研究者。</w:t>
      </w:r>
    </w:p>
    <w:p w:rsidR="0087703C" w:rsidRPr="001D75F1" w:rsidRDefault="0087703C" w:rsidP="002F5129">
      <w:pPr>
        <w:pStyle w:val="Web"/>
        <w:numPr>
          <w:ilvl w:val="0"/>
          <w:numId w:val="5"/>
        </w:numPr>
        <w:shd w:val="clear" w:color="auto" w:fill="FFFFFF"/>
        <w:spacing w:before="0" w:beforeAutospacing="0" w:after="0" w:afterAutospacing="0" w:line="400" w:lineRule="atLeast"/>
        <w:ind w:firstLine="0"/>
        <w:jc w:val="both"/>
        <w:rPr>
          <w:rFonts w:ascii="標楷體" w:eastAsia="標楷體" w:hAnsi="標楷體" w:cs="Segoe UI"/>
          <w:color w:val="000000" w:themeColor="text1"/>
        </w:rPr>
      </w:pPr>
      <w:bookmarkStart w:id="0" w:name="_GoBack"/>
      <w:bookmarkEnd w:id="0"/>
      <w:r w:rsidRPr="001D75F1">
        <w:rPr>
          <w:rFonts w:ascii="標楷體" w:eastAsia="標楷體" w:hAnsi="標楷體" w:cs="Segoe UI" w:hint="eastAsia"/>
          <w:color w:val="000000" w:themeColor="text1"/>
        </w:rPr>
        <w:t>同一</w:t>
      </w:r>
      <w:proofErr w:type="gramStart"/>
      <w:r w:rsidRPr="001D75F1">
        <w:rPr>
          <w:rFonts w:ascii="標楷體" w:eastAsia="標楷體" w:hAnsi="標楷體" w:cs="Segoe UI" w:hint="eastAsia"/>
          <w:color w:val="000000" w:themeColor="text1"/>
        </w:rPr>
        <w:t>案件均由同一</w:t>
      </w:r>
      <w:proofErr w:type="gramEnd"/>
      <w:r w:rsidRPr="001D75F1">
        <w:rPr>
          <w:rFonts w:ascii="標楷體" w:eastAsia="標楷體" w:hAnsi="標楷體" w:cs="Segoe UI" w:hint="eastAsia"/>
          <w:color w:val="000000" w:themeColor="text1"/>
        </w:rPr>
        <w:t>校系之教授擔任審查者。</w:t>
      </w:r>
    </w:p>
    <w:p w:rsidR="0087703C" w:rsidRPr="006F05E6" w:rsidRDefault="0087703C" w:rsidP="006F05E6">
      <w:pPr>
        <w:pStyle w:val="Web"/>
        <w:numPr>
          <w:ilvl w:val="0"/>
          <w:numId w:val="1"/>
        </w:numPr>
        <w:shd w:val="clear" w:color="auto" w:fill="FFFFFF"/>
        <w:spacing w:before="0" w:beforeAutospacing="0" w:after="0" w:afterAutospacing="0" w:line="360" w:lineRule="atLeast"/>
        <w:jc w:val="both"/>
        <w:rPr>
          <w:rFonts w:ascii="標楷體" w:eastAsia="標楷體" w:hAnsi="標楷體" w:cs="Segoe UI"/>
          <w:color w:val="000000" w:themeColor="text1"/>
        </w:rPr>
      </w:pPr>
      <w:r w:rsidRPr="006F05E6">
        <w:rPr>
          <w:rFonts w:ascii="標楷體" w:eastAsia="標楷體" w:hAnsi="標楷體" w:cs="Segoe UI" w:hint="eastAsia"/>
          <w:color w:val="000000" w:themeColor="text1"/>
        </w:rPr>
        <w:t>針對特殊性領域類科，遴選國內適當之審查委員不易時，可遴選國外之教授擔任審查委員。 </w:t>
      </w:r>
    </w:p>
    <w:p w:rsidR="00537B13" w:rsidRPr="00710AA5" w:rsidRDefault="0087703C" w:rsidP="00710AA5">
      <w:pPr>
        <w:pStyle w:val="Web"/>
        <w:numPr>
          <w:ilvl w:val="0"/>
          <w:numId w:val="1"/>
        </w:numPr>
        <w:shd w:val="clear" w:color="auto" w:fill="FFFFFF"/>
        <w:spacing w:before="0" w:beforeAutospacing="0" w:after="0" w:afterAutospacing="0" w:line="360" w:lineRule="atLeast"/>
        <w:jc w:val="both"/>
        <w:rPr>
          <w:rFonts w:ascii="標楷體" w:eastAsia="標楷體" w:hAnsi="標楷體" w:cs="Segoe UI" w:hint="eastAsia"/>
          <w:color w:val="000000" w:themeColor="text1"/>
        </w:rPr>
      </w:pPr>
      <w:r w:rsidRPr="001D75F1">
        <w:rPr>
          <w:rFonts w:ascii="標楷體" w:eastAsia="標楷體" w:hAnsi="標楷體" w:cs="Segoe UI" w:hint="eastAsia"/>
          <w:color w:val="000000" w:themeColor="text1"/>
        </w:rPr>
        <w:t>本原則經本中心教師評審委員會通過後實施，修正時亦同。</w:t>
      </w:r>
    </w:p>
    <w:sectPr w:rsidR="00537B13" w:rsidRPr="00710AA5" w:rsidSect="001D75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822F9"/>
    <w:multiLevelType w:val="hybridMultilevel"/>
    <w:tmpl w:val="F7CA9554"/>
    <w:lvl w:ilvl="0" w:tplc="0214358E">
      <w:start w:val="1"/>
      <w:numFmt w:val="taiwaneseCountingThousand"/>
      <w:lvlText w:val="%1、"/>
      <w:lvlJc w:val="left"/>
      <w:pPr>
        <w:ind w:left="581" w:hanging="851"/>
      </w:pPr>
      <w:rPr>
        <w:rFonts w:hint="default"/>
      </w:rPr>
    </w:lvl>
    <w:lvl w:ilvl="1" w:tplc="04090019" w:tentative="1">
      <w:start w:val="1"/>
      <w:numFmt w:val="ideographTraditional"/>
      <w:lvlText w:val="%2、"/>
      <w:lvlJc w:val="left"/>
      <w:pPr>
        <w:ind w:left="690" w:hanging="480"/>
      </w:pPr>
    </w:lvl>
    <w:lvl w:ilvl="2" w:tplc="0409001B" w:tentative="1">
      <w:start w:val="1"/>
      <w:numFmt w:val="lowerRoman"/>
      <w:lvlText w:val="%3."/>
      <w:lvlJc w:val="right"/>
      <w:pPr>
        <w:ind w:left="1170" w:hanging="480"/>
      </w:pPr>
    </w:lvl>
    <w:lvl w:ilvl="3" w:tplc="0409000F" w:tentative="1">
      <w:start w:val="1"/>
      <w:numFmt w:val="decimal"/>
      <w:lvlText w:val="%4."/>
      <w:lvlJc w:val="left"/>
      <w:pPr>
        <w:ind w:left="1650" w:hanging="480"/>
      </w:pPr>
    </w:lvl>
    <w:lvl w:ilvl="4" w:tplc="04090019" w:tentative="1">
      <w:start w:val="1"/>
      <w:numFmt w:val="ideographTraditional"/>
      <w:lvlText w:val="%5、"/>
      <w:lvlJc w:val="left"/>
      <w:pPr>
        <w:ind w:left="2130" w:hanging="480"/>
      </w:pPr>
    </w:lvl>
    <w:lvl w:ilvl="5" w:tplc="0409001B" w:tentative="1">
      <w:start w:val="1"/>
      <w:numFmt w:val="lowerRoman"/>
      <w:lvlText w:val="%6."/>
      <w:lvlJc w:val="right"/>
      <w:pPr>
        <w:ind w:left="2610" w:hanging="480"/>
      </w:pPr>
    </w:lvl>
    <w:lvl w:ilvl="6" w:tplc="0409000F" w:tentative="1">
      <w:start w:val="1"/>
      <w:numFmt w:val="decimal"/>
      <w:lvlText w:val="%7."/>
      <w:lvlJc w:val="left"/>
      <w:pPr>
        <w:ind w:left="3090" w:hanging="480"/>
      </w:pPr>
    </w:lvl>
    <w:lvl w:ilvl="7" w:tplc="04090019" w:tentative="1">
      <w:start w:val="1"/>
      <w:numFmt w:val="ideographTraditional"/>
      <w:lvlText w:val="%8、"/>
      <w:lvlJc w:val="left"/>
      <w:pPr>
        <w:ind w:left="3570" w:hanging="480"/>
      </w:pPr>
    </w:lvl>
    <w:lvl w:ilvl="8" w:tplc="0409001B" w:tentative="1">
      <w:start w:val="1"/>
      <w:numFmt w:val="lowerRoman"/>
      <w:lvlText w:val="%9."/>
      <w:lvlJc w:val="right"/>
      <w:pPr>
        <w:ind w:left="4050" w:hanging="480"/>
      </w:pPr>
    </w:lvl>
  </w:abstractNum>
  <w:abstractNum w:abstractNumId="1" w15:restartNumberingAfterBreak="0">
    <w:nsid w:val="55711B54"/>
    <w:multiLevelType w:val="hybridMultilevel"/>
    <w:tmpl w:val="54B411AE"/>
    <w:lvl w:ilvl="0" w:tplc="F0A694A4">
      <w:start w:val="1"/>
      <w:numFmt w:val="taiwaneseCountingThousand"/>
      <w:lvlText w:val="%1、"/>
      <w:lvlJc w:val="left"/>
      <w:pPr>
        <w:ind w:left="210" w:hanging="480"/>
      </w:pPr>
      <w:rPr>
        <w:rFonts w:hint="eastAsia"/>
        <w:b w:val="0"/>
        <w:color w:val="000000"/>
      </w:rPr>
    </w:lvl>
    <w:lvl w:ilvl="1" w:tplc="BD109ECC">
      <w:start w:val="1"/>
      <w:numFmt w:val="taiwaneseCountingThousand"/>
      <w:lvlText w:val="(%2)"/>
      <w:lvlJc w:val="left"/>
      <w:pPr>
        <w:ind w:left="698" w:hanging="488"/>
      </w:pPr>
      <w:rPr>
        <w:rFonts w:hint="default"/>
      </w:rPr>
    </w:lvl>
    <w:lvl w:ilvl="2" w:tplc="0409001B" w:tentative="1">
      <w:start w:val="1"/>
      <w:numFmt w:val="lowerRoman"/>
      <w:lvlText w:val="%3."/>
      <w:lvlJc w:val="right"/>
      <w:pPr>
        <w:ind w:left="1170" w:hanging="480"/>
      </w:pPr>
    </w:lvl>
    <w:lvl w:ilvl="3" w:tplc="0409000F" w:tentative="1">
      <w:start w:val="1"/>
      <w:numFmt w:val="decimal"/>
      <w:lvlText w:val="%4."/>
      <w:lvlJc w:val="left"/>
      <w:pPr>
        <w:ind w:left="1650" w:hanging="480"/>
      </w:pPr>
    </w:lvl>
    <w:lvl w:ilvl="4" w:tplc="04090019" w:tentative="1">
      <w:start w:val="1"/>
      <w:numFmt w:val="ideographTraditional"/>
      <w:lvlText w:val="%5、"/>
      <w:lvlJc w:val="left"/>
      <w:pPr>
        <w:ind w:left="2130" w:hanging="480"/>
      </w:pPr>
    </w:lvl>
    <w:lvl w:ilvl="5" w:tplc="0409001B" w:tentative="1">
      <w:start w:val="1"/>
      <w:numFmt w:val="lowerRoman"/>
      <w:lvlText w:val="%6."/>
      <w:lvlJc w:val="right"/>
      <w:pPr>
        <w:ind w:left="2610" w:hanging="480"/>
      </w:pPr>
    </w:lvl>
    <w:lvl w:ilvl="6" w:tplc="0409000F" w:tentative="1">
      <w:start w:val="1"/>
      <w:numFmt w:val="decimal"/>
      <w:lvlText w:val="%7."/>
      <w:lvlJc w:val="left"/>
      <w:pPr>
        <w:ind w:left="3090" w:hanging="480"/>
      </w:pPr>
    </w:lvl>
    <w:lvl w:ilvl="7" w:tplc="04090019" w:tentative="1">
      <w:start w:val="1"/>
      <w:numFmt w:val="ideographTraditional"/>
      <w:lvlText w:val="%8、"/>
      <w:lvlJc w:val="left"/>
      <w:pPr>
        <w:ind w:left="3570" w:hanging="480"/>
      </w:pPr>
    </w:lvl>
    <w:lvl w:ilvl="8" w:tplc="0409001B" w:tentative="1">
      <w:start w:val="1"/>
      <w:numFmt w:val="lowerRoman"/>
      <w:lvlText w:val="%9."/>
      <w:lvlJc w:val="right"/>
      <w:pPr>
        <w:ind w:left="4050" w:hanging="480"/>
      </w:pPr>
    </w:lvl>
  </w:abstractNum>
  <w:abstractNum w:abstractNumId="2" w15:restartNumberingAfterBreak="0">
    <w:nsid w:val="5EA93974"/>
    <w:multiLevelType w:val="hybridMultilevel"/>
    <w:tmpl w:val="8B12A63C"/>
    <w:lvl w:ilvl="0" w:tplc="1CBCC3BE">
      <w:start w:val="1"/>
      <w:numFmt w:val="taiwaneseCountingThousand"/>
      <w:lvlText w:val="(%1)"/>
      <w:lvlJc w:val="left"/>
      <w:pPr>
        <w:ind w:left="480" w:hanging="480"/>
      </w:pPr>
      <w:rPr>
        <w:rFonts w:hint="eastAsia"/>
        <w:b w:val="0"/>
        <w:color w:val="000000"/>
      </w:rPr>
    </w:lvl>
    <w:lvl w:ilvl="1" w:tplc="9F0E4B56">
      <w:start w:val="1"/>
      <w:numFmt w:val="taiwaneseCountingThousand"/>
      <w:suff w:val="nothing"/>
      <w:lvlText w:val="(%2)"/>
      <w:lvlJc w:val="left"/>
      <w:pPr>
        <w:ind w:left="210" w:hanging="480"/>
      </w:pPr>
      <w:rPr>
        <w:rFonts w:hint="eastAsia"/>
        <w:b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E67678"/>
    <w:multiLevelType w:val="hybridMultilevel"/>
    <w:tmpl w:val="3A3EB572"/>
    <w:lvl w:ilvl="0" w:tplc="1CBCC3BE">
      <w:start w:val="1"/>
      <w:numFmt w:val="taiwaneseCountingThousand"/>
      <w:lvlText w:val="(%1)"/>
      <w:lvlJc w:val="left"/>
      <w:pPr>
        <w:ind w:left="480" w:hanging="480"/>
      </w:pPr>
      <w:rPr>
        <w:rFonts w:hint="eastAsia"/>
        <w:b w:val="0"/>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1640CC"/>
    <w:multiLevelType w:val="hybridMultilevel"/>
    <w:tmpl w:val="24DA4BC2"/>
    <w:lvl w:ilvl="0" w:tplc="9F0E4B56">
      <w:start w:val="1"/>
      <w:numFmt w:val="taiwaneseCountingThousand"/>
      <w:suff w:val="nothing"/>
      <w:lvlText w:val="(%1)"/>
      <w:lvlJc w:val="left"/>
      <w:pPr>
        <w:ind w:left="21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B5"/>
    <w:rsid w:val="001D75F1"/>
    <w:rsid w:val="002F5129"/>
    <w:rsid w:val="00461DC8"/>
    <w:rsid w:val="00537B13"/>
    <w:rsid w:val="005A56B5"/>
    <w:rsid w:val="006E461B"/>
    <w:rsid w:val="006F05E6"/>
    <w:rsid w:val="00710AA5"/>
    <w:rsid w:val="0087703C"/>
    <w:rsid w:val="00CF248F"/>
    <w:rsid w:val="00FB6950"/>
    <w:rsid w:val="00FF5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0650"/>
  <w15:chartTrackingRefBased/>
  <w15:docId w15:val="{9E5E489E-2387-45E6-9132-3362BB3D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7703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11</cp:revision>
  <dcterms:created xsi:type="dcterms:W3CDTF">2020-12-04T03:39:00Z</dcterms:created>
  <dcterms:modified xsi:type="dcterms:W3CDTF">2020-12-07T01:27:00Z</dcterms:modified>
</cp:coreProperties>
</file>